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1"/>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lightGray"/>
          <w:u w:val="none"/>
          <w:vertAlign w:val="baseline"/>
          <w:rtl w:val="0"/>
        </w:rPr>
        <w:t xml:space="preserve">UAB „PAVADINIMAS“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202X m. metinių finansinių ataskaitų</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aiškinamasis raštas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I. BENDROJI INFORMACIJA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UAB „PAVADINIMAS“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(toliau visur –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Bendrovė</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yra uždaroji akcinė bendrovė, įregistruota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XXXX m. XXX 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 Bendrovės registracijos Juridinių asmenų registre kodas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XXXXXXXXX.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Galiojanti Bendrovės įstatų redakcija įregistruota Juridinių asmenų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registre XXXX m. XXX 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Bendrovės buveinės adresas yra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Vilnius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Pagrindinė Bendrovės veikla vykdoma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tuo pačiu adresu.</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Finansiniai Bendrovės metai sutampa su kalendoriniais metais.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Bendrovės vykdoma veikla: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XXXXXXXXXXXXXXXXXXXXXXXX.</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Vidutinis darbuotojų skaičius pagal sąrašą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m. buvo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darbuotojai,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202(X-1)</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m.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darbuotojai.</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II. APSKAITOS POLITIKA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Bendrieji apskaitos principai</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Metinės finansinės ataskaitos (toliau -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finansinės ataskaitos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sudarytos vadovaujantis įmonės, veiklos tęstinumo, periodiškumo, pastovumo, piniginio mato, kaupimo, palyginimo, atsargumo, neutralumo bei turinio viršenybės prieš formą principais.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Finansinių ataskaitų forma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Šios finansinės ataskaitos yra parengtos pagal LR Buhalterinės apskaitos įstatymą, LR Įmonių finansinės atskaitomybės įstatymą bei Verslo apskaitos standartus (toliau -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VAS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Finansinių ataskaitų valiuta</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Bendrovės finansinėse ataskaitose visos sumos yra pateiktos nacionaline Lietuvos Respublikos valiuta – eurais.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Valiutinės operacijos Bendrovės apskaitoje registruojamos atsižvelgiant į Lietuvos Banko kiekvieną dieną nustatomą euro kursą kitų užsienio valiutų atžvilgiu.</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nematerialusis turtas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Nematerialiajam turtui Bendrovėje priskiriamas neturintis materialios formos nepiniginis turtas, kuriuo Bendrovė disponuoja, kurį naudodama tikisi gauti tiesioginės ir (arba) netiesioginės ekonominės naudos ir kurio įsigijimo savikaina yra ne mažesnė už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Pirminio pripažinimo metu nematerialusis turtas apskaitoje registruojamas įsigijimo savikaina. Balanse nematerialusis turtas pateikiamas likutine verte.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Ilgalaikis nematerialusis turtas amortizuojamas tiesiogiai proporcingu amortizacijos skaičiavimo metodu. Nematerialiojo turto amortizacija priskiriama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Bendrovės veiklos sąnaudoms.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008.0" w:type="dxa"/>
        <w:jc w:val="left"/>
        <w:tblInd w:w="0.0" w:type="dxa"/>
        <w:tblLayout w:type="fixed"/>
        <w:tblLook w:val="0000"/>
      </w:tblPr>
      <w:tblGrid>
        <w:gridCol w:w="7128"/>
        <w:gridCol w:w="2880"/>
        <w:tblGridChange w:id="0">
          <w:tblGrid>
            <w:gridCol w:w="7128"/>
            <w:gridCol w:w="2880"/>
          </w:tblGrid>
        </w:tblGridChange>
      </w:tblGrid>
      <w:tr>
        <w:trPr>
          <w:cantSplit w:val="0"/>
          <w:tblHeader w:val="0"/>
        </w:trPr>
        <w:tc>
          <w:tcPr/>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Naudingo tarnavimo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laikas (metais)</w:t>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Programinė įranga</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Kitas nematerialusis turtas</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materialusis turtas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Ilgalaikiam materialiajam turtui Bendrovėje priskiriamas materialusis turtas, kuriuo Bendrovė savo rizika disponuoja, kuris teikia ekonominės naudos naudojamas ilgiau nei vienerius metus ir kurio įsigijimo savikainą galima patikimai nustatyti bei kurio įsigijimo savikaina yra ne mažesnė už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Ilgalaikis materialusis turtas apskaitoje registruojamas įsigijimo savikaina. Finansinėse ataskaitose jis parodomas įsigijimo savikaina, atėmus sukauptą nusidėvėjimą ir turto vertės sumažėjimą.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Ilgalaikio materialaus turto nusidėvėjimas skaičiuojamas taikant tiesiogiai proporcingą nusidėvėjimo skaičiavimo metodą.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Ilgalaikio materialiojo turto nusidėvėjimas priskiriamas Bendrovės veiklos sąnaudoms.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Ilgalaikio materialaus turto perleidimo rezultatas pripažįstamas ataskaitinio laikotarpio kitos veiklos pelnu arba nuostoliu. </w:t>
      </w:r>
    </w:p>
    <w:tbl>
      <w:tblPr>
        <w:tblStyle w:val="Table2"/>
        <w:tblW w:w="10008.0" w:type="dxa"/>
        <w:jc w:val="left"/>
        <w:tblInd w:w="0.0" w:type="dxa"/>
        <w:tblLayout w:type="fixed"/>
        <w:tblLook w:val="0000"/>
      </w:tblPr>
      <w:tblGrid>
        <w:gridCol w:w="6948"/>
        <w:gridCol w:w="3060"/>
        <w:tblGridChange w:id="0">
          <w:tblGrid>
            <w:gridCol w:w="6948"/>
            <w:gridCol w:w="3060"/>
          </w:tblGrid>
        </w:tblGridChange>
      </w:tblGrid>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Naudingo tarnavimo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laikas (metais)</w:t>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Pastatai ir statiniai</w:t>
            </w:r>
          </w:p>
        </w:tc>
        <w:tc>
          <w:tcPr>
            <w:tcBorders>
              <w:top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8 - 15</w:t>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Transporto priemonės</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 10</w:t>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Kiti įrenginiai, statiniai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Kompiuterinė technika ir ryšių priemonės</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Baldai</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Kitas turtas</w:t>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highlight w:val="red"/>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finansinis turtas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Ilgalaikiam finansiniam turtui Bendrovėje priskiriamos ilgalaikės investicijos į kitas įmones, suteiktos ilgalaikės paskolos, po vienerių metų gautinos sumos bei kitas finansinis turtas, kuris atitinka ilgalaikio turto apibrėžimą, išskyrus gautinų sumų ir suteiktų paskolų einamųjų metų dalį.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Kitas ilgalaikis turtas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Kitam ilgalaikiam turtui Bendrovėje priskiriamos išankstinės įmokos pagal nuomos ir panašias sutartis, kurios bus užskaitytos po vienerių metų nuo jų užregistravimo dienos arba po balanso sudarymo datos.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Atsargos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Atsargoms Bendrovėje priskiriamas trumpalaikis turtas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(žaliavos, medžiagos ir komplektuojamieji gaminiai, nebaigta gamyba, pagaminta produkcija bei pirktos prekės, skirtos perparduoti)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kurį Bendrovė sunaudoja pajamoms uždirbti per vienerius metus arba per vieną Bendrovės veiklos ciklą. Registruojant atsargas apskaitoje, jos įvertinamos įsigijimo savikaina, o sudarant finansines ataskaitas – įsigijimo savikaina arba grynąja galimo realizavimo verte, atsižvelgiant į tai, kuri iš jų yra mažesnė ir atimant reikšmingus atsargų vertės sumažėjimo nuostolius.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Pagamintos ir/ar parduotos produkcijos savikainą sudaro žaliavos, medžiagos, darbo apmokėjimo sąnaudos, gamybinių pastatų bei įrengimų nusidėvėjimas ir kitos su gamyba susijusios pridėtinės išlaidos.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Apskaičiuodama sunaudotų veikloje ar parduotų atsargų savikainą, Bendrovė taiko FIFO būdą (daroma prielaida, kad pirmiausiai sunaudojamos anksčiausiai įsigytos atsargos).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Gautinos sumos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Gautinos sumos apskaitoje registruojamos tikrąja verte (pradine sandorio verte). Sudarant finansines ataskaitas, gautinos sumos apskaitomos įsigijimo savikaina, atėmus nuvertėjimą (nuostolį dėl vertės sumažėjimo).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Kitas trumpalaikis turtas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Bendrovės kito trumpalaikio turto straipsnyje parodomas trumpalaikis finansinis turtas bei kitas trumpalaikis turtas, kuris nebuvo parodytas kituose turto straipsniuose.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Pinigai ir pinigų ekvivalentai</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Pinigus sudaro pinigai banko sąskaitose bei kasoje įvairia valiuta.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Nuosavas kapitalas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Bendrovės nuosavam kapitalui priskiriama apmokėta įstatinio kapitalo dalis, akcijų priedai, privalomas ir kiti rezervai, nepaskirstytasis pelnas.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Mokėtinos sumos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Pirmą kartą pripažindama įsipareigojimą, Bendrovė jį įvertina savikaina. Sudarant finansines ataskaitas, mokėtinos sumos apskaitomos tikrąja verte arba amortizuota savikaina, o skirtumas tarp savikainos ir tikrosios vertės arba amortizuotos savikainos įtraukiamas į laikotarpio pelną arba nuostolius. Skolos priskiriamos ilgalaikėms, jei iki finansinių ataskaitų patvirtinimo datos sudaryta finansavimo sutartis įrodo, kad įsipareigojimas balanso dieną pagal pobūdį buvo ilgalaikis.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Atidėjiniai</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Atidėjiniai apskaitoje pripažįstami tada, kai dėl praeities įvykio Bendrovė turi teisinį įsipareigojimą ar neatšaukiamą pasižadėjimą, ir tikėtina, kad jam įvykdyti bus reikalingi ekonominę naudą teikiantys ištekliai, ir įsipareigojimo suma gali būti patikimai įvertinta. Sudarant finansines ataskaitas, atidėjiniai yra koreguojami taip, kad atspindėtų tiksliausią įvertinimą balanso sudarymo datai.</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Pelno mokestis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Pelno mokestis skaičiuojamas pagal Lietuvos mokesčių įstatymų reikalavimus.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Bendrovei taikomas pelno mokesčio tarifas už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 m</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yra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_____</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proc. Mokestinius nuostolius, išskyrus nuostolius dėl vertybinių popierių perleidimo, galima perkelti neribotą laikotarpį, tačiau toks perkėlimas nutraukiamas, jeigu įmonė nebetęsia veiklos, dėl kurios šie nuostoliai susidarė. Nuostoliai dėl vertybinių popierių perleidimo perkeliami ne ilgiau kaip penkerius metus.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Pajamos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Pajamos apskaitoje pripažįstamos vadovaujantis kaupimo principu, t.y. apskaitoje registruojamos tada, kai jos uždirbamos, neatsižvelgiant į pinigų gavimą. Pajamos registruojamos, kai tikimasi gauti su sandoriu susijusią ekonominę naudą, ir kai galima patikimai įvertinti pajamų sumą.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Pajamos Bendrovėje įvertinamos tikrąją verte, atėmus PVM ir suteiktas nuolaidas bei įvertinus parduotų prekių grąžinimą ir nukainojimą. Pajamos pardavus prekes pripažįstamos pristačius prekes ir perdavus riziką bei prekių nuosavybės teikiamą naudą.</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Palūkanų pajamos pripažįstamos kaupimo principu, nebent yra abejonių dėl jų gavimo.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Sąnaudos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Sąnaudos apskaitoje pripažįstamos vadovaujantis kaupimo bei palyginimo principais tuo ataskaitiniu laikotarpiu, kai uždirbamos su jomis susijusios pajamos, neatsižvelgiant į pinigų išleidimo laiką. Kai per ataskaitinį laikotarpį patirtų išlaidų neįmanoma tiesiogiai susieti su konkrečių pajamų uždirbimu ir jos ateinančiais laikotarpiais neuždirbs pajamų, šios išlaidos pripažįstamos sąnaudomis tą patį laikotarpį, kada buvo patirtos.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Veiklos sąnaudos parodo per ataskaitinį laikotarpį patirtas išlaidas, susijusias su tipine Bendrovės veikla.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Valiutiniai straipsniai</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Sandoriai, sudaryti užsienio valiuta, apskaitomi pagal sandorio sudarymo dieną galiojusį oficialų euro ir užsienio valiutos keitimo kursą. Ataskaitinio laikotarpio pabaigoje valiutiniai likučiai perkainojami pagal paskutinės ataskaitinio laikotarpio dienos oficialų euro ir užsienio valiutos keitimo kursą. Pelnas ir nuostoliai, susidarę pasikeitus užsienio valiutų kursams, apskaitomi pelno (nuostolių) ataskaitoje.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Neapibrėžtumai</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Neapibrėžti įsipareigojimai finansinėje atskaitomybėje nėra pripažįstami. Jie aprašomi aiškinamajame rašte, išskyrus tuos atvejus, kai tikimybė, kad ekonominę naudą duodantys ištekliai bus prarasti, yra labai maža.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Neapibrėžtas turtas finansinėje atskaitomybėje nėra pripažįstamas. Jis aprašomas aiškinamajame rašte, išskyrus tuos atvejus, kai yra tikimybė, kad bus gautos pajamos arba ekonominė nauda.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Pobalansiniai įvykiai</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Pobalansiniai įvykiai, kurie suteikia papildomos informacijos apie Bendrovės padėtį balanso sudarymo dieną (koreguojantys įvykiai), finansinėse ataskaitose yra atspindimi. Pobalansiniai įvykiai, kurie nėra koreguojantys įvykiai, jei tai reikšminga, yra aprašomi pastabose.</w:t>
      </w:r>
      <w:bookmarkStart w:colFirst="0" w:colLast="0" w:name="bookmark=id.gjdgxs" w:id="0"/>
      <w:bookmarkEnd w:id="0"/>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III. APSKAITOS POLITIKOS KEITIMAS</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Apskaitos politikos keitimo finansinėje apskaitoje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 m. nebuvo.</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IV. METINIŲ FINANSINIŲ ATASKAITŲ PASTABOS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89" w:right="0" w:hanging="38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nematerialus turtas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1"/>
          <w:i w:val="0"/>
          <w:smallCaps w:val="0"/>
          <w:strike w:val="0"/>
          <w:color w:val="000000"/>
          <w:sz w:val="18"/>
          <w:szCs w:val="18"/>
          <w:u w:val="none"/>
          <w:shd w:fill="auto" w:val="clear"/>
          <w:vertAlign w:val="baseline"/>
        </w:rPr>
        <w:pict>
          <v:shape id="_x0000_s0" style="width:508pt;height:571pt;" type="#_x0000_t75">
            <v:imagedata r:id="rId1" o:title=""/>
          </v:shape>
          <o:OLEObject DrawAspect="Content" r:id="rId2" ObjectID="_1705304752" ProgID="" ShapeID="_x0000_s0" Type="Embed"/>
        </w:pic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1"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materialus turtas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1"/>
          <w:i w:val="0"/>
          <w:smallCaps w:val="0"/>
          <w:strike w:val="0"/>
          <w:color w:val="000000"/>
          <w:sz w:val="18"/>
          <w:szCs w:val="18"/>
          <w:u w:val="none"/>
          <w:shd w:fill="auto" w:val="clear"/>
          <w:vertAlign w:val="baseline"/>
        </w:rPr>
        <w:pict>
          <v:shape id="_x0000_s1" style="width:522pt;height:590pt;" type="#_x0000_t75">
            <v:imagedata r:id="rId3" o:title=""/>
          </v:shape>
          <o:OLEObject DrawAspect="Content" r:id="rId4" ObjectID="_1705304751" ProgID="" ShapeID="_x0000_s1" Type="Embed"/>
        </w:pic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Finansinis turtas</w:t>
      </w:r>
      <w:r w:rsidDel="00000000" w:rsidR="00000000" w:rsidRPr="00000000">
        <w:rPr>
          <w:rtl w:val="0"/>
        </w:rPr>
      </w:r>
    </w:p>
    <w:tbl>
      <w:tblPr>
        <w:tblStyle w:val="Table3"/>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Asocijuotų įmonių akcijos</w:t>
            </w:r>
          </w:p>
        </w:tc>
        <w:tc>
          <w:tcPr>
            <w:tcBorders>
              <w:top w:color="000000" w:space="0" w:sz="4" w:val="single"/>
              <w:bottom w:color="000000" w:space="0" w:sz="4"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Paskolos asocijuotosioms įmonėms</w:t>
            </w:r>
          </w:p>
        </w:tc>
        <w:tc>
          <w:tcPr>
            <w:tcBorders>
              <w:top w:color="000000" w:space="0" w:sz="4" w:val="single"/>
              <w:bottom w:color="000000" w:space="0" w:sz="4" w:val="single"/>
            </w:tcBorders>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Iš asocijuotųjų įmonių gautinos sumos</w:t>
            </w:r>
          </w:p>
        </w:tc>
        <w:tc>
          <w:tcPr>
            <w:tcBorders>
              <w:top w:color="000000" w:space="0" w:sz="4" w:val="single"/>
              <w:bottom w:color="000000" w:space="0" w:sz="4" w:val="single"/>
            </w:tcBorders>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Ilgalaikės investicijos</w:t>
            </w:r>
          </w:p>
        </w:tc>
        <w:tc>
          <w:tcPr>
            <w:tcBorders>
              <w:top w:color="000000" w:space="0" w:sz="4" w:val="single"/>
              <w:bottom w:color="000000" w:space="0" w:sz="4" w:val="single"/>
            </w:tcBorders>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Po vienerių metų gautinos sumos</w:t>
            </w:r>
          </w:p>
        </w:tc>
        <w:tc>
          <w:tcPr>
            <w:tcBorders>
              <w:top w:color="000000" w:space="0" w:sz="4" w:val="single"/>
              <w:bottom w:color="000000" w:space="0" w:sz="4" w:val="single"/>
            </w:tcBorders>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Kitas finansinis turtas</w:t>
            </w:r>
          </w:p>
        </w:tc>
        <w:tc>
          <w:tcPr>
            <w:tcBorders>
              <w:top w:color="000000" w:space="0" w:sz="4" w:val="single"/>
              <w:bottom w:color="000000" w:space="0" w:sz="4"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Kitas ilgalaikis turtas</w:t>
      </w:r>
      <w:r w:rsidDel="00000000" w:rsidR="00000000" w:rsidRPr="00000000">
        <w:rPr>
          <w:rtl w:val="0"/>
        </w:rPr>
      </w:r>
    </w:p>
    <w:tbl>
      <w:tblPr>
        <w:tblStyle w:val="Table4"/>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Atidėtojo pelno mokesčio turtas</w:t>
            </w:r>
          </w:p>
        </w:tc>
        <w:tc>
          <w:tcPr>
            <w:tcBorders>
              <w:top w:color="000000" w:space="0" w:sz="4" w:val="single"/>
              <w:bottom w:color="000000" w:space="0" w:sz="4" w:val="single"/>
            </w:tcBorders>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Biologinis turtas</w:t>
            </w:r>
          </w:p>
        </w:tc>
        <w:tc>
          <w:tcPr>
            <w:tcBorders>
              <w:top w:color="000000" w:space="0" w:sz="4" w:val="single"/>
              <w:bottom w:color="000000" w:space="0" w:sz="4" w:val="single"/>
            </w:tcBorders>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Kitas turtas</w:t>
            </w:r>
          </w:p>
        </w:tc>
        <w:tc>
          <w:tcPr>
            <w:tcBorders>
              <w:top w:color="000000" w:space="0" w:sz="4" w:val="single"/>
              <w:bottom w:color="000000" w:space="0" w:sz="4" w:val="single"/>
            </w:tcBorders>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Atsargos</w:t>
      </w:r>
      <w:r w:rsidDel="00000000" w:rsidR="00000000" w:rsidRPr="00000000">
        <w:rPr>
          <w:rtl w:val="0"/>
        </w:rPr>
      </w:r>
    </w:p>
    <w:tbl>
      <w:tblPr>
        <w:tblStyle w:val="Table5"/>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Žaliavos, medžiagos ir komplektavimo detalės</w:t>
            </w:r>
          </w:p>
        </w:tc>
        <w:tc>
          <w:tcPr>
            <w:tcBorders>
              <w:top w:color="000000" w:space="0" w:sz="4" w:val="single"/>
              <w:bottom w:color="000000" w:space="0" w:sz="4" w:val="single"/>
            </w:tcBorders>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Nebaigta produkcija ir vykdomi darbai</w:t>
            </w:r>
          </w:p>
        </w:tc>
        <w:tc>
          <w:tcPr>
            <w:tcBorders>
              <w:top w:color="000000" w:space="0" w:sz="4" w:val="single"/>
              <w:bottom w:color="000000" w:space="0" w:sz="4" w:val="single"/>
            </w:tcBorders>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Pirktos prekės, skirtos perparduoti</w:t>
            </w:r>
          </w:p>
        </w:tc>
        <w:tc>
          <w:tcPr>
            <w:tcBorders>
              <w:top w:color="000000" w:space="0" w:sz="4" w:val="single"/>
              <w:bottom w:color="000000" w:space="0" w:sz="4"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Biologinis turtas</w:t>
            </w:r>
          </w:p>
        </w:tc>
        <w:tc>
          <w:tcPr>
            <w:tcBorders>
              <w:top w:color="000000" w:space="0" w:sz="4" w:val="single"/>
              <w:bottom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Ilgalaikis materialus turtas, skirtas parduoti</w:t>
            </w:r>
          </w:p>
        </w:tc>
        <w:tc>
          <w:tcPr>
            <w:tcBorders>
              <w:top w:color="000000" w:space="0" w:sz="4" w:val="single"/>
              <w:bottom w:color="000000" w:space="0" w:sz="4" w:val="single"/>
            </w:tcBorders>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Sumokėti avansai </w:t>
            </w:r>
          </w:p>
        </w:tc>
        <w:tc>
          <w:tcPr>
            <w:tcBorders>
              <w:top w:color="000000" w:space="0" w:sz="4" w:val="single"/>
              <w:bottom w:color="000000"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Per vienerius metus gautinos sumos</w:t>
      </w:r>
      <w:r w:rsidDel="00000000" w:rsidR="00000000" w:rsidRPr="00000000">
        <w:rPr>
          <w:rtl w:val="0"/>
        </w:rPr>
      </w:r>
    </w:p>
    <w:tbl>
      <w:tblPr>
        <w:tblStyle w:val="Table6"/>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Pirkėjų skolos</w:t>
            </w:r>
          </w:p>
        </w:tc>
        <w:tc>
          <w:tcPr>
            <w:tcBorders>
              <w:top w:color="000000" w:space="0" w:sz="4" w:val="single"/>
              <w:bottom w:color="000000" w:space="0" w:sz="4" w:val="single"/>
            </w:tcBorders>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Biudžeto skola Bendrovei</w:t>
            </w:r>
          </w:p>
        </w:tc>
        <w:tc>
          <w:tcPr>
            <w:tcBorders>
              <w:bottom w:color="000000" w:space="0" w:sz="4" w:val="single"/>
            </w:tcBorders>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Kitos gautinos sumos</w:t>
            </w:r>
          </w:p>
        </w:tc>
        <w:tc>
          <w:tcPr>
            <w:tcBorders>
              <w:top w:color="000000" w:space="0" w:sz="4" w:val="single"/>
              <w:bottom w:color="000000" w:space="0" w:sz="4" w:val="single"/>
            </w:tcBorders>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Abejotinos skolos (-)</w:t>
            </w:r>
          </w:p>
        </w:tc>
        <w:tc>
          <w:tcPr>
            <w:tcBorders>
              <w:top w:color="000000" w:space="0" w:sz="4" w:val="single"/>
              <w:bottom w:color="000000" w:space="0" w:sz="4"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391"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Kapitalas</w:t>
      </w:r>
      <w:r w:rsidDel="00000000" w:rsidR="00000000" w:rsidRPr="00000000">
        <w:rPr>
          <w:rtl w:val="0"/>
        </w:rPr>
      </w:r>
    </w:p>
    <w:tbl>
      <w:tblPr>
        <w:tblStyle w:val="Table7"/>
        <w:tblW w:w="9911.0" w:type="dxa"/>
        <w:jc w:val="left"/>
        <w:tblInd w:w="0.0" w:type="dxa"/>
        <w:tblLayout w:type="fixed"/>
        <w:tblLook w:val="0000"/>
      </w:tblPr>
      <w:tblGrid>
        <w:gridCol w:w="4178"/>
        <w:gridCol w:w="1911"/>
        <w:gridCol w:w="1911"/>
        <w:gridCol w:w="1911"/>
        <w:tblGridChange w:id="0">
          <w:tblGrid>
            <w:gridCol w:w="4178"/>
            <w:gridCol w:w="1911"/>
            <w:gridCol w:w="1911"/>
            <w:gridCol w:w="191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Akcijų klasė</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Nominali vertė, Eur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Apmokėtų akcijų skaičius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Neapmokėtų akcijų skaičius</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Paprastosios vardinės nematerialiosios akcijos</w:t>
            </w:r>
          </w:p>
        </w:tc>
        <w:tc>
          <w:tcPr>
            <w:tcBorders>
              <w:top w:color="000000" w:space="0" w:sz="4" w:val="single"/>
              <w:bottom w:color="000000" w:space="0" w:sz="4" w:val="single"/>
            </w:tcBorders>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3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Įstatinis kapitalas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3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Apmokėtas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3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Neapmokėtas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3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Iš viso</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Likutis metų pradžioje</w:t>
            </w:r>
          </w:p>
        </w:tc>
        <w:tc>
          <w:tcPr>
            <w:tcBorders>
              <w:top w:color="000000" w:space="0" w:sz="4" w:val="single"/>
              <w:bottom w:color="000000" w:space="0" w:sz="4"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Įstatinio kapitalo didinimas</w:t>
            </w:r>
          </w:p>
        </w:tc>
        <w:tc>
          <w:tcPr>
            <w:tcBorders>
              <w:top w:color="000000" w:space="0" w:sz="4" w:val="single"/>
              <w:bottom w:color="000000"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Įstatinio kapitalo mažinimas (-)</w:t>
            </w:r>
          </w:p>
        </w:tc>
        <w:tc>
          <w:tcPr>
            <w:tcBorders>
              <w:top w:color="000000" w:space="0" w:sz="4" w:val="single"/>
              <w:bottom w:color="000000" w:space="0" w:sz="4"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Akcijų priedai</w:t>
            </w:r>
          </w:p>
        </w:tc>
        <w:tc>
          <w:tcPr>
            <w:tcBorders>
              <w:top w:color="000000" w:space="0" w:sz="4" w:val="single"/>
              <w:bottom w:color="000000" w:space="0" w:sz="4" w:val="single"/>
            </w:tcBorders>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202X m. gruodžio 31 d. Bendrovė neturėjo įsigijusi savų akcijų. Per 202X metus Bendrovė neįsigijo ir neperleido savų akcijų.</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Rezervai</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Bendrovėje yra suformuotas XXX Eur privalomasis rezervas.</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Po vienerių metų mokėtinos sumos ir kiti ilgalaikiai įsipareigojimai</w:t>
      </w:r>
      <w:r w:rsidDel="00000000" w:rsidR="00000000" w:rsidRPr="00000000">
        <w:rPr>
          <w:rtl w:val="0"/>
        </w:rPr>
      </w:r>
    </w:p>
    <w:tbl>
      <w:tblPr>
        <w:tblStyle w:val="Table8"/>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Skoliniai įsipareigojimai </w:t>
            </w:r>
          </w:p>
        </w:tc>
        <w:tc>
          <w:tcPr>
            <w:tcBorders>
              <w:top w:color="000000" w:space="0" w:sz="4" w:val="single"/>
              <w:bottom w:color="000000" w:space="0" w:sz="4" w:val="single"/>
            </w:tcBorders>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Skolos kredito įstaigoms</w:t>
            </w:r>
          </w:p>
        </w:tc>
        <w:tc>
          <w:tcPr>
            <w:tcBorders>
              <w:top w:color="000000" w:space="0" w:sz="4" w:val="single"/>
              <w:bottom w:color="000000" w:space="0" w:sz="4" w:val="single"/>
            </w:tcBorders>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Gauti avansai</w:t>
            </w:r>
          </w:p>
        </w:tc>
        <w:tc>
          <w:tcPr>
            <w:tcBorders>
              <w:top w:color="000000" w:space="0" w:sz="4" w:val="single"/>
              <w:bottom w:color="000000" w:space="0" w:sz="4" w:val="single"/>
            </w:tcBorders>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Kitos po vienerių metų mokėtinos sumos</w:t>
            </w:r>
          </w:p>
        </w:tc>
        <w:tc>
          <w:tcPr>
            <w:tcBorders>
              <w:top w:color="000000" w:space="0" w:sz="4" w:val="single"/>
              <w:bottom w:color="000000" w:space="0" w:sz="4" w:val="single"/>
            </w:tcBorders>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Per vienerius metus mokėtinos sumos ir kiti trumpalaikiai įsipareigojimai</w:t>
      </w:r>
      <w:r w:rsidDel="00000000" w:rsidR="00000000" w:rsidRPr="00000000">
        <w:rPr>
          <w:rtl w:val="0"/>
        </w:rPr>
      </w:r>
    </w:p>
    <w:tbl>
      <w:tblPr>
        <w:tblStyle w:val="Table9"/>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Skoliniai įsipareigojimai</w:t>
            </w:r>
          </w:p>
        </w:tc>
        <w:tc>
          <w:tcPr>
            <w:tcBorders>
              <w:top w:color="000000" w:space="0" w:sz="4" w:val="single"/>
              <w:bottom w:color="000000" w:space="0" w:sz="4" w:val="single"/>
            </w:tcBorders>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Skolos kredito įstaigoms</w:t>
            </w:r>
          </w:p>
        </w:tc>
        <w:tc>
          <w:tcPr>
            <w:tcBorders>
              <w:bottom w:color="000000" w:space="0" w:sz="4" w:val="single"/>
            </w:tcBorders>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Gauti avansai</w:t>
            </w:r>
          </w:p>
        </w:tc>
        <w:tc>
          <w:tcPr>
            <w:tcBorders>
              <w:top w:color="000000" w:space="0" w:sz="4" w:val="single"/>
              <w:bottom w:color="000000" w:space="0" w:sz="4" w:val="single"/>
            </w:tcBorders>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Skolos tiekėjams</w:t>
            </w:r>
          </w:p>
        </w:tc>
        <w:tc>
          <w:tcPr>
            <w:tcBorders>
              <w:top w:color="000000" w:space="0" w:sz="4" w:val="single"/>
              <w:bottom w:color="000000" w:space="0" w:sz="4" w:val="single"/>
            </w:tcBorders>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Pelno mokesčio įsipareigojimai</w:t>
            </w:r>
          </w:p>
        </w:tc>
        <w:tc>
          <w:tcPr>
            <w:tcBorders>
              <w:top w:color="000000" w:space="0" w:sz="4" w:val="single"/>
              <w:bottom w:color="000000" w:space="0" w:sz="4" w:val="single"/>
            </w:tcBorders>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Su darbo santykiais susiję įsipareigojimai</w:t>
            </w:r>
          </w:p>
        </w:tc>
        <w:tc>
          <w:tcPr>
            <w:tcBorders>
              <w:top w:color="000000" w:space="0" w:sz="4" w:val="single"/>
              <w:bottom w:color="000000" w:space="0" w:sz="4" w:val="single"/>
            </w:tcBorders>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Kitos per vienerius metus mokėtinos sumos</w:t>
            </w:r>
          </w:p>
        </w:tc>
        <w:tc>
          <w:tcPr>
            <w:tcBorders>
              <w:top w:color="000000" w:space="0" w:sz="4" w:val="single"/>
              <w:bottom w:color="000000" w:space="0" w:sz="4" w:val="single"/>
            </w:tcBorders>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391"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Pardavimo pajamos</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Ataskaitiniais finansiniais metais Bendrovė uždirbo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 prekių pardavimo / paslaugų teikimo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pajamų.</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Pardavimo savikaina</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Bendrovės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parduotų prekių / suteiktų paslaugų</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savikainą ataskaitiniais finansiniais metais sudarė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Pardavimo sąnaudos</w:t>
      </w:r>
      <w:r w:rsidDel="00000000" w:rsidR="00000000" w:rsidRPr="00000000">
        <w:rPr>
          <w:rtl w:val="0"/>
        </w:rPr>
      </w:r>
    </w:p>
    <w:tbl>
      <w:tblPr>
        <w:tblStyle w:val="Table10"/>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Patalpų nuomos sąnaudos</w:t>
            </w:r>
          </w:p>
        </w:tc>
        <w:tc>
          <w:tcPr>
            <w:tcBorders>
              <w:top w:color="000000" w:space="0" w:sz="4" w:val="single"/>
              <w:bottom w:color="000000" w:space="0" w:sz="4" w:val="single"/>
            </w:tcBorders>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Patalpų remonto ir eksploatacijos sąnaudos</w:t>
            </w:r>
          </w:p>
        </w:tc>
        <w:tc>
          <w:tcPr>
            <w:tcBorders>
              <w:bottom w:color="000000" w:space="0" w:sz="4" w:val="single"/>
            </w:tcBorders>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Darbo užmokesčio ir su juo susijusių mokesčių bei išmokų sąnaudos</w:t>
            </w:r>
          </w:p>
        </w:tc>
        <w:tc>
          <w:tcPr>
            <w:tcBorders>
              <w:top w:color="000000" w:space="0" w:sz="4" w:val="single"/>
              <w:bottom w:color="000000" w:space="0" w:sz="4" w:val="single"/>
            </w:tcBorders>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Mažaverčio inventoriaus sąnaudos</w:t>
            </w:r>
          </w:p>
        </w:tc>
        <w:tc>
          <w:tcPr>
            <w:tcBorders>
              <w:top w:color="000000" w:space="0" w:sz="4" w:val="single"/>
              <w:bottom w:color="000000" w:space="0" w:sz="4" w:val="single"/>
            </w:tcBorders>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Ilgalaikio materialiojo turto vertės nusidėvėjimo sąnaudos</w:t>
            </w:r>
          </w:p>
        </w:tc>
        <w:tc>
          <w:tcPr>
            <w:tcBorders>
              <w:top w:color="000000" w:space="0" w:sz="4" w:val="single"/>
              <w:bottom w:color="000000" w:space="0" w:sz="4" w:val="single"/>
            </w:tcBorders>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Paslaugų ir prekių reklamos sąnaudos</w:t>
            </w:r>
          </w:p>
        </w:tc>
        <w:tc>
          <w:tcPr>
            <w:tcBorders>
              <w:top w:color="000000" w:space="0" w:sz="4" w:val="single"/>
              <w:bottom w:color="000000" w:space="0" w:sz="4"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Kitos pardavimo sąnaudos</w:t>
            </w:r>
          </w:p>
        </w:tc>
        <w:tc>
          <w:tcPr>
            <w:tcBorders>
              <w:top w:color="000000" w:space="0" w:sz="4" w:val="single"/>
              <w:bottom w:color="000000" w:space="0" w:sz="4" w:val="single"/>
            </w:tcBorders>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Bendrosios ir administracinės sąnaudos</w:t>
      </w:r>
      <w:r w:rsidDel="00000000" w:rsidR="00000000" w:rsidRPr="00000000">
        <w:rPr>
          <w:rtl w:val="0"/>
        </w:rPr>
      </w:r>
    </w:p>
    <w:tbl>
      <w:tblPr>
        <w:tblStyle w:val="Table11"/>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Patalpų nuomos sąnaudos</w:t>
            </w:r>
          </w:p>
        </w:tc>
        <w:tc>
          <w:tcPr>
            <w:tcBorders>
              <w:top w:color="000000" w:space="0" w:sz="4" w:val="single"/>
              <w:bottom w:color="000000" w:space="0" w:sz="4" w:val="single"/>
            </w:tcBorders>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Patalpų remonto ir eksploatacijos sąnaudos</w:t>
            </w:r>
          </w:p>
        </w:tc>
        <w:tc>
          <w:tcPr>
            <w:tcBorders>
              <w:bottom w:color="000000" w:space="0" w:sz="4" w:val="single"/>
            </w:tcBorders>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Darbo užmokesčio ir su juo susijusių mokesčių bei išmokų sąnaudos</w:t>
            </w:r>
          </w:p>
        </w:tc>
        <w:tc>
          <w:tcPr>
            <w:tcBorders>
              <w:top w:color="000000" w:space="0" w:sz="4" w:val="single"/>
              <w:bottom w:color="000000" w:space="0" w:sz="4" w:val="single"/>
            </w:tcBorders>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Veiklos mokesčių sąnaudos</w:t>
            </w:r>
          </w:p>
        </w:tc>
        <w:tc>
          <w:tcPr>
            <w:tcBorders>
              <w:top w:color="000000" w:space="0" w:sz="4" w:val="single"/>
              <w:bottom w:color="000000" w:space="0" w:sz="4" w:val="single"/>
            </w:tcBorders>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Ilgalaikio materialiojo turto nusidėvėjimo sąnaudos</w:t>
            </w:r>
          </w:p>
        </w:tc>
        <w:tc>
          <w:tcPr>
            <w:tcBorders>
              <w:top w:color="000000" w:space="0" w:sz="4" w:val="single"/>
              <w:bottom w:color="000000" w:space="0" w:sz="4" w:val="single"/>
            </w:tcBorders>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Ilgalaikio nematerialiojo turto amortizacijos sąnaudos</w:t>
            </w:r>
          </w:p>
        </w:tc>
        <w:tc>
          <w:tcPr>
            <w:tcBorders>
              <w:top w:color="000000" w:space="0" w:sz="4" w:val="single"/>
              <w:bottom w:color="000000" w:space="0" w:sz="4" w:val="single"/>
            </w:tcBorders>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Trumpalaikio turto sąnaudos</w:t>
            </w:r>
          </w:p>
        </w:tc>
        <w:tc>
          <w:tcPr>
            <w:tcBorders>
              <w:top w:color="000000" w:space="0" w:sz="4" w:val="single"/>
              <w:bottom w:color="000000" w:space="0" w:sz="4" w:val="single"/>
            </w:tcBorders>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Buhalterinės apskaitos sąnaudos</w:t>
            </w:r>
          </w:p>
        </w:tc>
        <w:tc>
          <w:tcPr>
            <w:tcBorders>
              <w:top w:color="000000" w:space="0" w:sz="4" w:val="single"/>
              <w:bottom w:color="000000" w:space="0" w:sz="4" w:val="single"/>
            </w:tcBorders>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Komandiruočių sąnaudos</w:t>
            </w:r>
          </w:p>
        </w:tc>
        <w:tc>
          <w:tcPr>
            <w:tcBorders>
              <w:top w:color="000000" w:space="0" w:sz="4" w:val="single"/>
              <w:bottom w:color="000000" w:space="0" w:sz="4" w:val="single"/>
            </w:tcBorders>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Ūkio sąnaudos</w:t>
            </w:r>
          </w:p>
        </w:tc>
        <w:tc>
          <w:tcPr>
            <w:tcBorders>
              <w:top w:color="000000" w:space="0" w:sz="4" w:val="single"/>
              <w:bottom w:color="000000" w:space="0" w:sz="4"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Teisinės sąnaudos</w:t>
            </w:r>
          </w:p>
        </w:tc>
        <w:tc>
          <w:tcPr>
            <w:tcBorders>
              <w:top w:color="000000" w:space="0" w:sz="4" w:val="single"/>
              <w:bottom w:color="000000" w:space="0" w:sz="4" w:val="single"/>
            </w:tcBorders>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Kitos sąnaudos</w:t>
            </w:r>
          </w:p>
        </w:tc>
        <w:tc>
          <w:tcPr>
            <w:tcBorders>
              <w:top w:color="000000" w:space="0" w:sz="4" w:val="single"/>
              <w:bottom w:color="000000" w:space="0" w:sz="4" w:val="single"/>
            </w:tcBorders>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Finansiniai ryšiai su Bendrovės vadovais</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ataskaitinį laikotarpį Bendrovės vadovams buvo priskaičiuotas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darbo užmokestis.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Grynasis pelnas (nuostoliai)</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Ataskaitiniais finansiniais metais iš ekonominės veiklos Bendrovė turėjo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pajamų. Bendrovės veiklos sąnaudos –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XXX Eur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202X metais Bendrovė dirbo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nuostolingai / pelningai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Grynasis ataskaitinių metų </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nuostolis / pelnas – XXX Eur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Pobalansiniai įvykiai</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Pasibaigus finansiniams metams iki finansinės atskaitomybės sudarymo jokių reikšmingų pobalansinių įvykių nebuvo.</w:t>
      </w: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Neapibrėžtieji įsipareigojimai ir turtas</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Bendrovė nėra suteikusi jokių garantijų ir nėra laidavusi už trečiųjų asmenų įsipareigojimus.</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bl>
      <w:tblPr>
        <w:tblStyle w:val="Table12"/>
        <w:tblW w:w="9918.0" w:type="dxa"/>
        <w:jc w:val="left"/>
        <w:tblInd w:w="0.0" w:type="dxa"/>
        <w:tblLayout w:type="fixed"/>
        <w:tblLook w:val="0000"/>
      </w:tblPr>
      <w:tblGrid>
        <w:gridCol w:w="3685"/>
        <w:gridCol w:w="283"/>
        <w:gridCol w:w="1982"/>
        <w:gridCol w:w="283"/>
        <w:gridCol w:w="3685"/>
        <w:tblGridChange w:id="0">
          <w:tblGrid>
            <w:gridCol w:w="3685"/>
            <w:gridCol w:w="283"/>
            <w:gridCol w:w="1982"/>
            <w:gridCol w:w="283"/>
            <w:gridCol w:w="3685"/>
          </w:tblGrid>
        </w:tblGridChange>
      </w:tblGrid>
      <w:tr>
        <w:trPr>
          <w:cantSplit w:val="0"/>
          <w:tblHeader w:val="0"/>
        </w:trPr>
        <w:tc>
          <w:tcP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highlight w:val="lightGray"/>
                <w:u w:val="none"/>
                <w:vertAlign w:val="baseline"/>
                <w:rtl w:val="0"/>
              </w:rPr>
              <w:t xml:space="preserve">Direktorius</w:t>
            </w:r>
            <w:r w:rsidDel="00000000" w:rsidR="00000000" w:rsidRPr="00000000">
              <w:rPr>
                <w:rtl w:val="0"/>
              </w:rPr>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highlight w:val="lightGray"/>
                <w:u w:val="none"/>
                <w:vertAlign w:val="baseline"/>
              </w:rPr>
            </w:pPr>
            <w:r w:rsidDel="00000000" w:rsidR="00000000" w:rsidRPr="00000000">
              <w:rPr>
                <w:rFonts w:ascii="Verdana" w:cs="Verdana" w:eastAsia="Verdana" w:hAnsi="Verdana"/>
                <w:b w:val="0"/>
                <w:i w:val="0"/>
                <w:smallCaps w:val="0"/>
                <w:strike w:val="0"/>
                <w:color w:val="000000"/>
                <w:sz w:val="19"/>
                <w:szCs w:val="19"/>
                <w:highlight w:val="lightGray"/>
                <w:u w:val="none"/>
                <w:vertAlign w:val="baseline"/>
                <w:rtl w:val="0"/>
              </w:rPr>
              <w:t xml:space="preserve">Vardenis Pavardenis</w:t>
            </w:r>
          </w:p>
        </w:tc>
      </w:tr>
      <w:tr>
        <w:trPr>
          <w:cantSplit w:val="0"/>
          <w:tblHeader w:val="0"/>
        </w:trPr>
        <w:tc>
          <w:tcP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(parašas)</w:t>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UAB </w:t>
            </w:r>
            <w:r w:rsidDel="00000000" w:rsidR="00000000" w:rsidRPr="00000000">
              <w:rPr>
                <w:rFonts w:ascii="Verdana" w:cs="Verdana" w:eastAsia="Verdana" w:hAnsi="Verdana"/>
                <w:sz w:val="19"/>
                <w:szCs w:val="19"/>
                <w:rtl w:val="0"/>
              </w:rPr>
              <w:t xml:space="preserve">Adisanda</w:t>
            </w: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atstovė</w:t>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highlight w:val="lightGray"/>
                <w:u w:val="none"/>
                <w:vertAlign w:val="baseline"/>
                <w:rtl w:val="0"/>
              </w:rPr>
              <w:t xml:space="preserve">Vardenė Pavardenė</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(parašas)</w:t>
            </w:r>
          </w:p>
        </w:tc>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sectPr>
      <w:headerReference r:id="rId11" w:type="default"/>
      <w:footerReference r:id="rId12" w:type="default"/>
      <w:footerReference r:id="rId13" w:type="even"/>
      <w:pgSz w:h="16838" w:w="11906" w:orient="portrait"/>
      <w:pgMar w:bottom="1247" w:top="1418" w:left="1134" w:right="851" w:header="709" w:footer="4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iš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UAB „PAVADINIMAS“</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202X m. gruodžio 31 d.</w:t>
    </w:r>
    <w:r w:rsidDel="00000000" w:rsidR="00000000" w:rsidRPr="00000000">
      <w:rPr>
        <w:rtl w:val="0"/>
      </w:rPr>
    </w:r>
  </w:p>
  <w:p w:rsidR="00000000" w:rsidDel="00000000" w:rsidP="00000000" w:rsidRDefault="00000000" w:rsidRPr="00000000" w14:paraId="000001A4">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rFonts w:ascii="Verdana" w:cs="Verdana" w:eastAsia="Verdana" w:hAnsi="Verdana"/>
        <w:b w:val="1"/>
        <w:i w:val="0"/>
        <w:smallCaps w:val="1"/>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1"/>
        <w:strike w:val="0"/>
        <w:color w:val="000000"/>
        <w:sz w:val="17"/>
        <w:szCs w:val="17"/>
        <w:u w:val="none"/>
        <w:shd w:fill="auto" w:val="clear"/>
        <w:vertAlign w:val="baseline"/>
        <w:rtl w:val="0"/>
      </w:rPr>
      <w:t xml:space="preserve">METINIŲ FINANSINIŲ ATASKAITŲ AIŠKINAMASIS RAŠTAS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(visos sumos yra eurais, jei nenurodyta kitaip)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Antraštė1">
    <w:name w:val="Antraštė 1"/>
    <w:basedOn w:val="Įprastasis"/>
    <w:next w:val="Įprastasis"/>
    <w:autoRedefine w:val="0"/>
    <w:hidden w:val="0"/>
    <w:qFormat w:val="0"/>
    <w:pPr>
      <w:keepNext w:val="1"/>
      <w:suppressAutoHyphens w:val="1"/>
      <w:spacing w:after="60" w:before="240" w:line="1" w:lineRule="atLeast"/>
      <w:ind w:leftChars="-1" w:rightChars="0" w:firstLineChars="-1"/>
      <w:textDirection w:val="btLr"/>
      <w:textAlignment w:val="top"/>
      <w:outlineLvl w:val="0"/>
    </w:pPr>
    <w:rPr>
      <w:b w:val="1"/>
      <w:bCs w:val="1"/>
      <w:caps w:val="1"/>
      <w:w w:val="100"/>
      <w:kern w:val="32"/>
      <w:position w:val="-1"/>
      <w:sz w:val="32"/>
      <w:szCs w:val="32"/>
      <w:effect w:val="none"/>
      <w:vertAlign w:val="baseline"/>
      <w:cs w:val="0"/>
      <w:em w:val="none"/>
      <w:lang w:bidi="ar-SA" w:eastAsia="en-US" w:val="lt-LT"/>
    </w:rPr>
  </w:style>
  <w:style w:type="paragraph" w:styleId="Antraštė2">
    <w:name w:val="Antraštė 2"/>
    <w:basedOn w:val="Įprastasis"/>
    <w:next w:val="Įprastasis"/>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effect w:val="none"/>
      <w:vertAlign w:val="baseline"/>
      <w:cs w:val="0"/>
      <w:em w:val="none"/>
      <w:lang w:bidi="ar-SA" w:eastAsia="en-US" w:val="lt-LT"/>
    </w:rPr>
  </w:style>
  <w:style w:type="paragraph" w:styleId="Antraštė3">
    <w:name w:val="Antraštė 3"/>
    <w:basedOn w:val="Įprastasis"/>
    <w:next w:val="Įprastasis"/>
    <w:autoRedefine w:val="0"/>
    <w:hidden w:val="0"/>
    <w:qFormat w:val="0"/>
    <w:pPr>
      <w:keepNext w:val="1"/>
      <w:suppressAutoHyphens w:val="1"/>
      <w:spacing w:after="60" w:before="240" w:line="1" w:lineRule="atLeast"/>
      <w:ind w:leftChars="-1" w:rightChars="0" w:firstLineChars="-1"/>
      <w:textDirection w:val="btLr"/>
      <w:textAlignment w:val="top"/>
      <w:outlineLvl w:val="2"/>
    </w:pPr>
    <w:rPr>
      <w:b w:val="1"/>
      <w:bCs w:val="1"/>
      <w:w w:val="100"/>
      <w:position w:val="-1"/>
      <w:effect w:val="none"/>
      <w:vertAlign w:val="baseline"/>
      <w:cs w:val="0"/>
      <w:em w:val="none"/>
      <w:lang w:bidi="ar-SA" w:eastAsia="en-US" w:val="lt-LT"/>
    </w:rPr>
  </w:style>
  <w:style w:type="paragraph" w:styleId="Antraštė4">
    <w:name w:val="Antraštė 4"/>
    <w:basedOn w:val="Įprastasis"/>
    <w:next w:val="Įprastasis"/>
    <w:autoRedefine w:val="0"/>
    <w:hidden w:val="0"/>
    <w:qFormat w:val="0"/>
    <w:pPr>
      <w:keepNext w:val="1"/>
      <w:suppressAutoHyphens w:val="1"/>
      <w:spacing w:before="60" w:line="1" w:lineRule="atLeast"/>
      <w:ind w:leftChars="-1" w:rightChars="0" w:firstLineChars="-1"/>
      <w:textDirection w:val="btLr"/>
      <w:textAlignment w:val="top"/>
      <w:outlineLvl w:val="3"/>
    </w:pPr>
    <w:rPr>
      <w:b w:val="1"/>
      <w:bCs w:val="1"/>
      <w:w w:val="100"/>
      <w:position w:val="-1"/>
      <w:effect w:val="none"/>
      <w:vertAlign w:val="baseline"/>
      <w:cs w:val="0"/>
      <w:em w:val="none"/>
      <w:lang w:bidi="ar-SA" w:eastAsia="en-US" w:val="lt-LT"/>
    </w:rPr>
  </w:style>
  <w:style w:type="paragraph" w:styleId="Antraštė5">
    <w:name w:val="Antraštė 5"/>
    <w:basedOn w:val="Įprastasis"/>
    <w:next w:val="Įprastasis"/>
    <w:autoRedefine w:val="0"/>
    <w:hidden w:val="0"/>
    <w:qFormat w:val="0"/>
    <w:pPr>
      <w:keepNext w:val="1"/>
      <w:suppressAutoHyphens w:val="1"/>
      <w:spacing w:after="60" w:before="240" w:line="1" w:lineRule="atLeast"/>
      <w:ind w:leftChars="-1" w:rightChars="0" w:firstLineChars="-1"/>
      <w:textDirection w:val="btLr"/>
      <w:textAlignment w:val="top"/>
      <w:outlineLvl w:val="4"/>
    </w:pPr>
    <w:rPr>
      <w:rFonts w:ascii="Arial" w:cs="Arial" w:hAnsi="Arial"/>
      <w:b w:val="1"/>
      <w:bCs w:val="1"/>
      <w:caps w:val="1"/>
      <w:w w:val="100"/>
      <w:position w:val="-1"/>
      <w:effect w:val="none"/>
      <w:vertAlign w:val="baseline"/>
      <w:cs w:val="0"/>
      <w:em w:val="none"/>
      <w:lang w:bidi="ar-SA" w:eastAsia="en-US" w:val="lt-LT"/>
    </w:rPr>
  </w:style>
  <w:style w:type="paragraph" w:styleId="Antraštė6">
    <w:name w:val="Antraštė 6"/>
    <w:basedOn w:val="Įprastasis"/>
    <w:next w:val="Įprastasis"/>
    <w:autoRedefine w:val="0"/>
    <w:hidden w:val="0"/>
    <w:qFormat w:val="0"/>
    <w:pPr>
      <w:keepNext w:val="1"/>
      <w:suppressAutoHyphens w:val="1"/>
      <w:spacing w:before="60" w:line="1" w:lineRule="atLeast"/>
      <w:ind w:leftChars="-1" w:rightChars="0" w:firstLineChars="-1"/>
      <w:jc w:val="center"/>
      <w:textDirection w:val="btLr"/>
      <w:textAlignment w:val="top"/>
      <w:outlineLvl w:val="5"/>
    </w:pPr>
    <w:rPr>
      <w:b w:val="1"/>
      <w:bCs w:val="1"/>
      <w:w w:val="100"/>
      <w:position w:val="-1"/>
      <w:effect w:val="none"/>
      <w:vertAlign w:val="baseline"/>
      <w:cs w:val="0"/>
      <w:em w:val="none"/>
      <w:lang w:bidi="ar-SA" w:eastAsia="en-US" w:val="lt-LT"/>
    </w:rPr>
  </w:style>
  <w:style w:type="paragraph" w:styleId="Antraštė7">
    <w:name w:val="Antraštė 7"/>
    <w:basedOn w:val="Įprastasis"/>
    <w:next w:val="Įprastasis"/>
    <w:autoRedefine w:val="0"/>
    <w:hidden w:val="0"/>
    <w:qFormat w:val="0"/>
    <w:pPr>
      <w:suppressAutoHyphens w:val="1"/>
      <w:spacing w:line="1" w:lineRule="atLeast"/>
      <w:ind w:leftChars="-1" w:rightChars="0" w:firstLineChars="-1"/>
      <w:textDirection w:val="btLr"/>
      <w:textAlignment w:val="top"/>
      <w:outlineLvl w:val="6"/>
    </w:pPr>
    <w:rPr>
      <w:b w:val="1"/>
      <w:bCs w:val="1"/>
      <w:caps w:val="1"/>
      <w:w w:val="100"/>
      <w:position w:val="-1"/>
      <w:sz w:val="22"/>
      <w:szCs w:val="22"/>
      <w:u w:val="single"/>
      <w:effect w:val="none"/>
      <w:vertAlign w:val="baseline"/>
      <w:cs w:val="0"/>
      <w:em w:val="none"/>
      <w:lang w:bidi="ar-SA" w:eastAsia="en-US" w:val="lt-LT"/>
    </w:rPr>
  </w:style>
  <w:style w:type="paragraph" w:styleId="Antraštė8">
    <w:name w:val="Antraštė 8"/>
    <w:basedOn w:val="Įprastasis"/>
    <w:next w:val="Įprastasis"/>
    <w:autoRedefine w:val="0"/>
    <w:hidden w:val="0"/>
    <w:qFormat w:val="0"/>
    <w:pPr>
      <w:keepNext w:val="1"/>
      <w:suppressAutoHyphens w:val="1"/>
      <w:spacing w:before="60" w:line="1" w:lineRule="atLeast"/>
      <w:ind w:leftChars="-1" w:rightChars="0" w:firstLineChars="-1"/>
      <w:jc w:val="right"/>
      <w:textDirection w:val="btLr"/>
      <w:textAlignment w:val="top"/>
      <w:outlineLvl w:val="7"/>
    </w:pPr>
    <w:rPr>
      <w:b w:val="1"/>
      <w:bCs w:val="1"/>
      <w:w w:val="100"/>
      <w:position w:val="-1"/>
      <w:effect w:val="none"/>
      <w:vertAlign w:val="baseline"/>
      <w:cs w:val="0"/>
      <w:em w:val="none"/>
      <w:lang w:bidi="ar-SA" w:eastAsia="en-US" w:val="en-US"/>
    </w:rPr>
  </w:style>
  <w:style w:type="paragraph" w:styleId="Antraštė9">
    <w:name w:val="Antraštė 9"/>
    <w:basedOn w:val="Įprastasis"/>
    <w:next w:val="Įprastasis"/>
    <w:autoRedefine w:val="0"/>
    <w:hidden w:val="0"/>
    <w:qFormat w:val="0"/>
    <w:pPr>
      <w:keepNext w:val="1"/>
      <w:suppressAutoHyphens w:val="1"/>
      <w:spacing w:before="60" w:line="1" w:lineRule="atLeast"/>
      <w:ind w:leftChars="-1" w:rightChars="0" w:firstLineChars="-1"/>
      <w:textDirection w:val="btLr"/>
      <w:textAlignment w:val="top"/>
      <w:outlineLvl w:val="8"/>
    </w:pPr>
    <w:rPr>
      <w:w w:val="100"/>
      <w:position w:val="-1"/>
      <w:u w:val="single"/>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1"/>
    <w:rPr>
      <w:w w:val="100"/>
      <w:position w:val="-1"/>
      <w:effect w:val="none"/>
      <w:vertAlign w:val="baseline"/>
      <w:cs w:val="0"/>
      <w:em w:val="none"/>
      <w:lang/>
    </w:rPr>
  </w:style>
  <w:style w:type="table" w:styleId="Įprastojilentelė">
    <w:name w:val="Įprastoji lentelė"/>
    <w:next w:val="Įprastojilentelė"/>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1"/>
    <w:pPr>
      <w:suppressAutoHyphens w:val="1"/>
      <w:spacing w:line="1" w:lineRule="atLeast"/>
      <w:ind w:leftChars="-1" w:rightChars="0" w:firstLineChars="-1"/>
      <w:textDirection w:val="btLr"/>
      <w:textAlignment w:val="top"/>
      <w:outlineLvl w:val="0"/>
    </w:pPr>
  </w:style>
  <w:style w:type="paragraph" w:styleId="Pavadinimas">
    <w:name w:val="Pavadinimas"/>
    <w:basedOn w:val="Įprastasis"/>
    <w:next w:val="Pavadinimas"/>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6"/>
      <w:szCs w:val="36"/>
      <w:effect w:val="none"/>
      <w:vertAlign w:val="baseline"/>
      <w:cs w:val="0"/>
      <w:em w:val="none"/>
      <w:lang w:bidi="ar-SA" w:eastAsia="en-US" w:val="en-US"/>
    </w:rPr>
  </w:style>
  <w:style w:type="paragraph" w:styleId="Antraštės">
    <w:name w:val="Antraštės"/>
    <w:basedOn w:val="Įprastasis"/>
    <w:next w:val="Antraštė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Poraštė">
    <w:name w:val="Poraštė"/>
    <w:basedOn w:val="Įprastasis"/>
    <w:next w:val="Poraštė"/>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Style1">
    <w:name w:val="Style1"/>
    <w:basedOn w:val="Antraštė7"/>
    <w:next w:val="Style1"/>
    <w:autoRedefine w:val="0"/>
    <w:hidden w:val="0"/>
    <w:qFormat w:val="0"/>
    <w:pPr>
      <w:suppressAutoHyphens w:val="1"/>
      <w:spacing w:line="1" w:lineRule="atLeast"/>
      <w:ind w:leftChars="-1" w:rightChars="0" w:firstLineChars="-1"/>
      <w:textDirection w:val="btLr"/>
      <w:textAlignment w:val="top"/>
      <w:outlineLvl w:val="6"/>
    </w:pPr>
    <w:rPr>
      <w:b w:val="0"/>
      <w:bCs w:val="0"/>
      <w:caps w:val="0"/>
      <w:w w:val="100"/>
      <w:position w:val="-1"/>
      <w:sz w:val="20"/>
      <w:szCs w:val="20"/>
      <w:u w:val="none"/>
      <w:effect w:val="none"/>
      <w:vertAlign w:val="baseline"/>
      <w:cs w:val="0"/>
      <w:em w:val="none"/>
      <w:lang w:bidi="ar-SA" w:eastAsia="en-US" w:val="lt-LT"/>
    </w:rPr>
  </w:style>
  <w:style w:type="character" w:styleId="Hipersaitas">
    <w:name w:val="Hipersaitas"/>
    <w:next w:val="Hipersaitas"/>
    <w:autoRedefine w:val="0"/>
    <w:hidden w:val="0"/>
    <w:qFormat w:val="0"/>
    <w:rPr>
      <w:color w:val="0000ff"/>
      <w:w w:val="100"/>
      <w:position w:val="-1"/>
      <w:u w:val="single"/>
      <w:effect w:val="none"/>
      <w:vertAlign w:val="baseline"/>
      <w:cs w:val="0"/>
      <w:em w:val="none"/>
      <w:lang/>
    </w:rPr>
  </w:style>
  <w:style w:type="character" w:styleId="Peržiūrėtashipersaitas">
    <w:name w:val="Peržiūrėtas hipersaitas"/>
    <w:next w:val="Peržiūrėtashipersaitas"/>
    <w:autoRedefine w:val="0"/>
    <w:hidden w:val="0"/>
    <w:qFormat w:val="0"/>
    <w:rPr>
      <w:color w:val="800080"/>
      <w:w w:val="100"/>
      <w:position w:val="-1"/>
      <w:u w:val="single"/>
      <w:effect w:val="none"/>
      <w:vertAlign w:val="baseline"/>
      <w:cs w:val="0"/>
      <w:em w:val="none"/>
      <w:lang/>
    </w:rPr>
  </w:style>
  <w:style w:type="paragraph" w:styleId="Bullet">
    <w:name w:val="Bullet"/>
    <w:basedOn w:val="Įprastasis"/>
    <w:next w:val="Bullet"/>
    <w:autoRedefine w:val="0"/>
    <w:hidden w:val="0"/>
    <w:qFormat w:val="0"/>
    <w:pPr>
      <w:suppressAutoHyphens w:val="1"/>
      <w:spacing w:line="1" w:lineRule="atLeast"/>
      <w:ind w:left="360" w:leftChars="-1" w:rightChars="0" w:hanging="360" w:firstLineChars="-1"/>
      <w:textDirection w:val="btLr"/>
      <w:textAlignment w:val="top"/>
      <w:outlineLvl w:val="0"/>
    </w:pPr>
    <w:rPr>
      <w:rFonts w:ascii="CG Times (W1)" w:cs="CG Times (W1)" w:hAnsi="CG Times (W1)"/>
      <w:w w:val="100"/>
      <w:position w:val="-1"/>
      <w:effect w:val="none"/>
      <w:vertAlign w:val="baseline"/>
      <w:cs w:val="0"/>
      <w:em w:val="none"/>
      <w:lang w:bidi="ar-SA" w:eastAsia="en-US" w:val="lt-LT"/>
    </w:rPr>
  </w:style>
  <w:style w:type="paragraph" w:styleId="ABLOCKPARA">
    <w:name w:val="A BLOCK PARA"/>
    <w:basedOn w:val="Įprastasis"/>
    <w:next w:val="ABLOCKPARA"/>
    <w:autoRedefine w:val="0"/>
    <w:hidden w:val="0"/>
    <w:qFormat w:val="0"/>
    <w:pPr>
      <w:suppressAutoHyphens w:val="1"/>
      <w:spacing w:line="1" w:lineRule="atLeast"/>
      <w:ind w:leftChars="-1" w:rightChars="0" w:firstLineChars="-1"/>
      <w:textDirection w:val="btLr"/>
      <w:textAlignment w:val="top"/>
      <w:outlineLvl w:val="0"/>
    </w:pPr>
    <w:rPr>
      <w:rFonts w:ascii="Book Antiqua" w:cs="Book Antiqua" w:hAnsi="Book Antiqua"/>
      <w:w w:val="100"/>
      <w:position w:val="-1"/>
      <w:sz w:val="22"/>
      <w:szCs w:val="22"/>
      <w:effect w:val="none"/>
      <w:vertAlign w:val="baseline"/>
      <w:cs w:val="0"/>
      <w:em w:val="none"/>
      <w:lang w:bidi="ar-SA" w:eastAsia="en-US" w:val="lt-LT"/>
    </w:rPr>
  </w:style>
  <w:style w:type="paragraph" w:styleId="Pagrindinistekstas">
    <w:name w:val="Pagrindinis tekstas"/>
    <w:basedOn w:val="Įprastasis"/>
    <w:next w:val="Pagrindinistekstas"/>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effect w:val="none"/>
      <w:vertAlign w:val="baseline"/>
      <w:cs w:val="0"/>
      <w:em w:val="none"/>
      <w:lang w:bidi="ar-SA" w:eastAsia="en-US" w:val="lt-LT"/>
    </w:rPr>
  </w:style>
  <w:style w:type="paragraph" w:styleId="Pagrindiniotekstoįtrauka">
    <w:name w:val="Pagrindinio teksto įtrauka"/>
    <w:basedOn w:val="Įprastasis"/>
    <w:next w:val="Pagrindiniotekstoįtrauka"/>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en-US" w:val="lt-LT"/>
    </w:rPr>
  </w:style>
  <w:style w:type="paragraph" w:styleId="Pagrindiniotekstoįtrauka2">
    <w:name w:val="Pagrindinio teksto įtrauka 2"/>
    <w:basedOn w:val="Įprastasis"/>
    <w:next w:val="Pagrindiniotekstoįtrauka2"/>
    <w:autoRedefine w:val="0"/>
    <w:hidden w:val="0"/>
    <w:qFormat w:val="0"/>
    <w:pPr>
      <w:suppressAutoHyphens w:val="1"/>
      <w:spacing w:line="1" w:lineRule="atLeast"/>
      <w:ind w:left="567" w:leftChars="-1" w:rightChars="0" w:hanging="567" w:firstLineChars="-1"/>
      <w:textDirection w:val="btLr"/>
      <w:textAlignment w:val="top"/>
      <w:outlineLvl w:val="0"/>
    </w:pPr>
    <w:rPr>
      <w:rFonts w:ascii="Book Antiqua" w:cs="Book Antiqua" w:hAnsi="Book Antiqua"/>
      <w:w w:val="100"/>
      <w:position w:val="-1"/>
      <w:effect w:val="none"/>
      <w:vertAlign w:val="baseline"/>
      <w:cs w:val="0"/>
      <w:em w:val="none"/>
      <w:lang w:bidi="ar-SA" w:eastAsia="en-US" w:val="en-US"/>
    </w:rPr>
  </w:style>
  <w:style w:type="character" w:styleId="Puslapionumeris">
    <w:name w:val="Puslapio numeris"/>
    <w:basedOn w:val="Numatytasispastraiposšriftas"/>
    <w:next w:val="Puslapionumeris"/>
    <w:autoRedefine w:val="0"/>
    <w:hidden w:val="0"/>
    <w:qFormat w:val="0"/>
    <w:rPr>
      <w:w w:val="100"/>
      <w:position w:val="-1"/>
      <w:effect w:val="none"/>
      <w:vertAlign w:val="baseline"/>
      <w:cs w:val="0"/>
      <w:em w:val="none"/>
      <w:lang/>
    </w:rPr>
  </w:style>
  <w:style w:type="paragraph" w:styleId="ReportBodyText">
    <w:name w:val="Report Body Text"/>
    <w:basedOn w:val="Įprastasis"/>
    <w:next w:val="ReportBodyText"/>
    <w:autoRedefine w:val="0"/>
    <w:hidden w:val="0"/>
    <w:qFormat w:val="0"/>
    <w:pPr>
      <w:suppressAutoHyphens w:val="1"/>
      <w:spacing w:after="120" w:line="1" w:lineRule="atLeast"/>
      <w:ind w:leftChars="-1" w:rightChars="0" w:firstLineChars="-1"/>
      <w:jc w:val="both"/>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Vokoatgalinisadresas">
    <w:name w:val="Voko atgalinis adresas"/>
    <w:basedOn w:val="Įprastasis"/>
    <w:next w:val="Vokoatgalinisadresas"/>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effect w:val="none"/>
      <w:vertAlign w:val="baseline"/>
      <w:cs w:val="0"/>
      <w:em w:val="none"/>
      <w:lang w:bidi="ar-SA" w:eastAsia="en-US" w:val="en-GB"/>
    </w:rPr>
  </w:style>
  <w:style w:type="paragraph" w:styleId="NormalCentered">
    <w:name w:val="Normal Centered"/>
    <w:basedOn w:val="Įprastasis"/>
    <w:next w:val="NormalCentered"/>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effect w:val="none"/>
      <w:vertAlign w:val="baseline"/>
      <w:cs w:val="0"/>
      <w:em w:val="none"/>
      <w:lang w:bidi="ar-SA" w:eastAsia="en-US" w:val="lt-LT"/>
    </w:rPr>
  </w:style>
  <w:style w:type="paragraph" w:styleId="Puslapioišnašostekstas">
    <w:name w:val="Puslapio išnašos tekstas"/>
    <w:basedOn w:val="Įprastasis"/>
    <w:next w:val="Puslapioišnašosteksta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character" w:styleId="Puslapioišnašosnuoroda">
    <w:name w:val="Puslapio išnašos nuoroda"/>
    <w:next w:val="Puslapioišnašosnuoroda"/>
    <w:autoRedefine w:val="0"/>
    <w:hidden w:val="0"/>
    <w:qFormat w:val="0"/>
    <w:rPr>
      <w:w w:val="100"/>
      <w:position w:val="-1"/>
      <w:effect w:val="none"/>
      <w:vertAlign w:val="superscript"/>
      <w:cs w:val="0"/>
      <w:em w:val="none"/>
      <w:lang/>
    </w:rPr>
  </w:style>
  <w:style w:type="table" w:styleId="Lentelėstinklelis">
    <w:name w:val="Lentelės tinklelis"/>
    <w:basedOn w:val="Įprastojilentelė"/>
    <w:next w:val="Lentelėstinkleli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entelėstinklelis"/>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besėliotekstas">
    <w:name w:val="Debesėlio tekstas"/>
    <w:basedOn w:val="Įprastasis"/>
    <w:next w:val="Debesėlioteksta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lt-LT"/>
    </w:rPr>
  </w:style>
  <w:style w:type="character" w:styleId="current2">
    <w:name w:val="current2"/>
    <w:next w:val="current2"/>
    <w:autoRedefine w:val="0"/>
    <w:hidden w:val="0"/>
    <w:qFormat w:val="0"/>
    <w:rPr>
      <w:color w:val="000000"/>
      <w:w w:val="100"/>
      <w:position w:val="-1"/>
      <w:effect w:val="none"/>
      <w:vertAlign w:val="baseline"/>
      <w:cs w:val="0"/>
      <w:em w:val="none"/>
      <w:lang/>
    </w:rPr>
  </w:style>
  <w:style w:type="paragraph" w:styleId="bodytext">
    <w:name w:val="bodytext"/>
    <w:basedOn w:val="Įprastasis"/>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t-LT" w:val="lt-L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lt-LT" w:val="lt-LT"/>
    </w:rPr>
  </w:style>
  <w:style w:type="character" w:styleId="Komentaronuoroda">
    <w:name w:val="Komentaro nuoroda"/>
    <w:next w:val="Komentaronuoroda"/>
    <w:autoRedefine w:val="0"/>
    <w:hidden w:val="0"/>
    <w:qFormat w:val="0"/>
    <w:rPr>
      <w:w w:val="100"/>
      <w:position w:val="-1"/>
      <w:sz w:val="16"/>
      <w:szCs w:val="16"/>
      <w:effect w:val="none"/>
      <w:vertAlign w:val="baseline"/>
      <w:cs w:val="0"/>
      <w:em w:val="none"/>
      <w:lang/>
    </w:rPr>
  </w:style>
  <w:style w:type="paragraph" w:styleId="Komentarotekstas">
    <w:name w:val="Komentaro tekstas"/>
    <w:basedOn w:val="Įprastasis"/>
    <w:next w:val="Komentaroteksta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Komentarotema">
    <w:name w:val="Komentaro tema"/>
    <w:basedOn w:val="Komentarotekstas"/>
    <w:next w:val="Komentarotekstas"/>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lt-LT"/>
    </w:rPr>
  </w:style>
  <w:style w:type="paragraph" w:styleId="mazas">
    <w:name w:val="mazas"/>
    <w:basedOn w:val="Įprastasis"/>
    <w:next w:val="maza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t-LT" w:val="lt-LT"/>
    </w:rPr>
  </w:style>
  <w:style w:type="character" w:styleId="PoraštėDiagrama">
    <w:name w:val="Poraštė Diagrama"/>
    <w:next w:val="PoraštėDiagrama"/>
    <w:autoRedefine w:val="0"/>
    <w:hidden w:val="0"/>
    <w:qFormat w:val="0"/>
    <w:rPr>
      <w:w w:val="100"/>
      <w:position w:val="-1"/>
      <w:effect w:val="none"/>
      <w:vertAlign w:val="baseline"/>
      <w:cs w:val="0"/>
      <w:em w:val="none"/>
      <w:lang w:eastAsia="en-US" w:val="lt-LT"/>
    </w:rPr>
  </w:style>
  <w:style w:type="paragraph" w:styleId="Sąrašopastraipa">
    <w:name w:val="Sąrašo pastraipa"/>
    <w:basedOn w:val="Įprastasis"/>
    <w:next w:val="Sąrašopastraip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customXml" Target="../customXML/item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2.emf"/><Relationship Id="rId4" Type="http://schemas.openxmlformats.org/officeDocument/2006/relationships/oleObject" Target="embeddings/oleObject2.bin"/><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c04j3PgkfcfkDvIZuRJ1kIh6w==">AMUW2mVdBffBZGfsOoP+FNymBpEpBudc+pGDL7i6fhSn1+GdYWpz9FomMq6teDTYv/UIheSZLWP0TRgTiGboN3rwu7/1C/a/FHWgXptbMoC2PYKqmlShBRCZAZtE1+nvCqtnoHrgz2hWd+uu8Hza3YZfBPBB2W0J7w==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2022-01-19T05:13:00Z</dcterms:created>
  <dc:creator>Jolanta</dc:creator>
</cp:coreProperties>
</file>